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proofErr w:type="spellStart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>Paphos</w:t>
      </w:r>
      <w:proofErr w:type="spellEnd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>Amathus</w:t>
      </w:r>
      <w:proofErr w:type="spellEnd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>Beach</w:t>
      </w:r>
      <w:proofErr w:type="spellEnd"/>
      <w:r w:rsidRPr="004E5BA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Hotel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5*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52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Общая информация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634599067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Отель расположен недалеко от исторического центра Пафоса, рядом со старой рыбацкой гаванью, у берега моря. Комплекс четырехэтажных зданий отеля построен на берегу собственной бухты в современном греческом стиле: с белыми стенами и красными черепичными крышами. Две «подковы» грандиозного сооружения обращены: одна — к морю, другая — в сторону города. В центре одной из «подков» расположилась уникальная искусственная морская лагуна, являющаяся одновременно огромным подогреваемым бассейном. В отеле есть собственный SPA-центр, открытый и крытый бассейны, уютные рестораны, а также предусмотрены специальные детские программы.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3"/>
        <w:gridCol w:w="972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50844586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Расположение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2014843780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 xml:space="preserve">Отель расположен на Кипре, в 4 км от центра Пафоса, в 15 км от международного аэропорта Пафоса, 144 км от аэропорта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, в 70 км от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Лимассола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  <w:gridCol w:w="989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79483138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Типы номеров: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262571909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В</w:t>
            </w:r>
            <w:r w:rsidRPr="004E5BA3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4E5BA3">
              <w:rPr>
                <w:rFonts w:ascii="Tahoma" w:eastAsia="Times New Roman" w:hAnsi="Tahoma" w:cs="Tahoma"/>
                <w:lang w:eastAsia="ru-RU"/>
              </w:rPr>
              <w:t>отеле</w:t>
            </w:r>
            <w:r w:rsidRPr="004E5BA3">
              <w:rPr>
                <w:rFonts w:ascii="Tahoma" w:eastAsia="Times New Roman" w:hAnsi="Tahoma" w:cs="Tahoma"/>
                <w:lang w:val="en-US" w:eastAsia="ru-RU"/>
              </w:rPr>
              <w:t xml:space="preserve"> 273 </w:t>
            </w:r>
            <w:r w:rsidRPr="004E5BA3">
              <w:rPr>
                <w:rFonts w:ascii="Tahoma" w:eastAsia="Times New Roman" w:hAnsi="Tahoma" w:cs="Tahoma"/>
                <w:lang w:eastAsia="ru-RU"/>
              </w:rPr>
              <w:t>номера</w:t>
            </w:r>
            <w:r w:rsidRPr="004E5BA3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Pr="004E5BA3">
              <w:rPr>
                <w:rFonts w:ascii="Tahoma" w:eastAsia="Times New Roman" w:hAnsi="Tahoma" w:cs="Tahoma"/>
                <w:lang w:eastAsia="ru-RU"/>
              </w:rPr>
              <w:t>включая</w:t>
            </w:r>
            <w:r w:rsidRPr="004E5BA3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4E5BA3">
              <w:rPr>
                <w:rFonts w:ascii="Tahoma" w:eastAsia="Times New Roman" w:hAnsi="Tahoma" w:cs="Tahoma"/>
                <w:b/>
                <w:lang w:val="en-US" w:eastAsia="ru-RU"/>
              </w:rPr>
              <w:t xml:space="preserve">213 Standard Rooms, 11 Family Rooms, 23 Privilege Junior Suites with City View, 12 Privilege Suites with Private Pool, 11 Privilege Junior Suites with Sea View,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val="en-US" w:eastAsia="ru-RU"/>
              </w:rPr>
              <w:t>Akamas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val="en-US" w:eastAsia="ru-RU"/>
              </w:rPr>
              <w:t xml:space="preserve"> Suite,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val="en-US" w:eastAsia="ru-RU"/>
              </w:rPr>
              <w:t>Dionysos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val="en-US" w:eastAsia="ru-RU"/>
              </w:rPr>
              <w:t xml:space="preserve"> Suite, Presidential Suite.</w:t>
            </w:r>
            <w:r w:rsidRPr="004E5BA3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4E5BA3">
              <w:rPr>
                <w:rFonts w:ascii="Tahoma" w:eastAsia="Times New Roman" w:hAnsi="Tahoma" w:cs="Tahoma"/>
                <w:lang w:eastAsia="ru-RU"/>
              </w:rPr>
              <w:t>Номера оформлены в греческом стиле, в светлых или белых тонах, обставлены мебелью из дерева, полы устланы коврами или отделаны мраморной плиткой. В каждом номере есть свой балкон или терраса.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К услугам гостей: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Standard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lang w:eastAsia="ru-RU"/>
              </w:rPr>
              <w:t>(27 м</w:t>
            </w:r>
            <w:r>
              <w:rPr>
                <w:rFonts w:ascii="Vrinda" w:eastAsia="Times New Roman" w:hAnsi="Vrinda" w:cs="Vrinda"/>
                <w:lang w:eastAsia="ru-RU"/>
              </w:rPr>
              <w:t>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полностью обновленные в 2007 году, все номера роскошно обставлены и имеют балкон, мраморную ванную комнату, кондиционер, игровую приставку. Для </w:t>
            </w: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>семей</w:t>
            </w:r>
            <w:proofErr w:type="gram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возможно забронировать соединяющиеся номера. Максимальное размещение — 2 взрослых + 1 ребенок.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Family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(33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>) — эти особенные номера предоставляют элегантно декорированную зону отдыха (без разделения) и балкон. Максимальное размещение — 2 взрослых + 2 ребенка.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Privilege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Junior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City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(33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номер состоит из спальни, стильной зоны отдыха, ванной комнаты и террасы; Привилегированные гости регистрируются в частном порядке, и их ожидают местное вино по прибытии, фруктовая корзина VIP, косметика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Bvlgari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ежедневная пресса. Максимальное размещение — 2 взрослых + 2 ребенка.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Privilege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Junior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(33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номер состоит из спальни, стильной зоны отдыха, ванной комнаты и балкона; Привилегированные гости регистрируются в частном порядке, и их ожидают местное вино по прибытии, фруктовая корзина VIP, косметика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Bvlgari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ежедневная пресса. Максимальное размещение — 2 взрослых + 2 ребенка.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Privilege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Private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Pool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(33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расположены на первом этаже, имеют вид на море; состоит из спальни, мини-гостиной, ванной комнаты; особенность: просторная терраса с небольшим частным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басссейном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джакузи. Максимальное размещение — 2 взрослых + 2 ребенка.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Akamas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(77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номер расположен на 4 этаже; состоит из спальни и отдельной гостиной с баром, мраморной ванной комнаты и исключительно большого балкона. Привилегированные гости регистрируются в частном порядке, и их ожидают местное вино </w:t>
            </w:r>
            <w:r w:rsidRPr="004E5BA3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по прибытии, фруктовая корзина VIP, косметика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Bvlgari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ежедневная пресса. Максимальное размещение — 2 взрослых.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Dionysos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(80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роскошный номер расположен в обособленном саду; состоит из спальни, гостиной, мраморной ванной комнатой, собственным бассейном с джакузи на террасе (12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). Привилегированные гости регистрируются в частном порядке, и их ожидают местное вино по прибытии, фруктовая корзина VIP, косметика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Bvlgari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ежедневная пресса. Максимальное размещение — 2 взрослых.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Presidential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4E5BA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 (100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4E5BA3">
              <w:rPr>
                <w:rFonts w:ascii="Tahoma" w:eastAsia="Times New Roman" w:hAnsi="Tahoma" w:cs="Tahoma"/>
                <w:lang w:eastAsia="ru-RU"/>
              </w:rPr>
              <w:t xml:space="preserve">) — расположен на 4-м этаже с панорамным видом на море и бассейны; состоит из спальни, гостиной-столовой с росписями на стенах, отделанной мрамором ванной с джакузи, гостевого туалета, большого балкона с видом на море. Привилегированные гости регистрируются в частном порядке, и их ожидают местное вино по прибытии, фруктовая корзина VIP, косметика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Bvlgari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ежедневная пресса. Возможно соединение Президентского люкса с соседними номерами для приема дополнительных гостей. Максимальное размещение — 2 взрослых.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 xml:space="preserve">В каждом номере: кондиционер, спутниковое телевидение,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Sony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PlayStation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телефон, сейф, мини-бар, фен, электрическая бритва, халаты.</w:t>
            </w:r>
            <w:proofErr w:type="gramEnd"/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2"/>
        <w:gridCol w:w="513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377321512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. </w:t>
            </w: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Центр красоты и здоровья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2091078006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>Оздоровительный</w:t>
            </w:r>
            <w:proofErr w:type="gram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SPA-центр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Armonia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Spa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, спроектированный итальянскими дизайнерами, прекрасное место для релаксации и омоложения.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Armonia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Spa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предлагает множество различных процедур для лица и тела, а также комплексных программ, с использованием высококачественных продуктов косметических линий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Thalago-Paris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Decleor-Paris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>К услугам гостей: террасы для загара, тренажерный зал, сауна, парная, джакузи, солярий, кабинеты для массажа, салон красоты.</w:t>
            </w:r>
            <w:proofErr w:type="gramEnd"/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8"/>
        <w:gridCol w:w="1507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5872220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Бассейн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691640881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Открытый и крытый бассейны с подогревом, детский бассейн.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0"/>
        <w:gridCol w:w="102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84463091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Спорт и досуг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2013023363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Для любителей активного отдыха есть водные виды спорта на пляже, 3 теннисных корта с подсветкой, сквош, настольный теннис, бильярд, а также известные поля для игры в гольф в Пафосе.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5"/>
        <w:gridCol w:w="1910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95683564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Пляж: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040591831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Собственный пляж.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7"/>
        <w:gridCol w:w="1788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25108413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Детям: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456561789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 xml:space="preserve">Дети могут провести время в клубе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Junior's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детский бассейн, игровая площадка, услуги няни за дополнительную плату.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10003118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E5B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Рестораны и бары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240" w:line="240" w:lineRule="auto"/>
              <w:divId w:val="535889851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К услугам гостей ресторан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Amorosa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зал которого располагается на разных уровнях. Здесь готовят блюда европейской и местной греческой кухни. Живая музыка и шоу-программы вечером.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Новый ресторан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Asiachi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 предлагает деликатесы Восточной кухни, включая суши-бар с непревзойденным обслуживанием.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Вечером можно поужинать «а ля карт» в ресторане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La</w:t>
            </w:r>
            <w:proofErr w:type="spellEnd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Rôtisserie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La</w:t>
            </w:r>
            <w:proofErr w:type="spellEnd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Terrazza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специализируется на итальянской кухне и закусках.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«Сердцем» отеля называют ресторан-кафе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The</w:t>
            </w:r>
            <w:proofErr w:type="spellEnd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Byzantium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, здесь в окружении древне-византийских интерьеров можно позавтракать или пообедать, заказав блюда из </w:t>
            </w:r>
            <w:r w:rsidRPr="004E5BA3">
              <w:rPr>
                <w:rFonts w:ascii="Tahoma" w:eastAsia="Times New Roman" w:hAnsi="Tahoma" w:cs="Tahoma"/>
                <w:lang w:eastAsia="ru-RU"/>
              </w:rPr>
              <w:lastRenderedPageBreak/>
              <w:t>гастрономического меню. 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Расположенный рядом с бассейном ресторан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Orangery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 предлагает обед на солнечной террасе.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Открылся новый стильный концепт-ресторан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Luna</w:t>
            </w:r>
            <w:proofErr w:type="spellEnd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Rosa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предлагающий европейскую и кипрскую кухни.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Расслабиться за коктейлем можно в современном баре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Nubar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Идеальным местом для послеобеденного кофе или аперитива перед ужином является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Fontana</w:t>
            </w:r>
            <w:proofErr w:type="spellEnd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Lounge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 xml:space="preserve">Прямо не выходя из </w:t>
            </w: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>бассейна</w:t>
            </w:r>
            <w:proofErr w:type="gram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гости могут насладиться прохладительными напитками в оригинальном баре </w:t>
            </w:r>
            <w:proofErr w:type="spellStart"/>
            <w:r w:rsidRPr="004E5BA3">
              <w:rPr>
                <w:rFonts w:ascii="Tahoma" w:eastAsia="Times New Roman" w:hAnsi="Tahoma" w:cs="Tahoma"/>
                <w:b/>
                <w:bCs/>
                <w:lang w:eastAsia="ru-RU"/>
              </w:rPr>
              <w:t>Koralia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31850853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Инфраструктура: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4E5BA3" w:rsidRPr="004E5BA3" w:rsidRDefault="004E5BA3" w:rsidP="004E5BA3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5BA3" w:rsidRPr="004E5BA3" w:rsidTr="004E5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A3" w:rsidRPr="004E5BA3" w:rsidRDefault="004E5BA3" w:rsidP="004E5BA3">
            <w:pPr>
              <w:spacing w:after="0" w:line="240" w:lineRule="auto"/>
              <w:divId w:val="1200631984"/>
              <w:rPr>
                <w:rFonts w:ascii="Tahoma" w:eastAsia="Times New Roman" w:hAnsi="Tahoma" w:cs="Tahoma"/>
                <w:lang w:eastAsia="ru-RU"/>
              </w:rPr>
            </w:pPr>
            <w:r w:rsidRPr="004E5BA3">
              <w:rPr>
                <w:rFonts w:ascii="Tahoma" w:eastAsia="Times New Roman" w:hAnsi="Tahoma" w:cs="Tahoma"/>
                <w:lang w:eastAsia="ru-RU"/>
              </w:rPr>
              <w:t xml:space="preserve">Для проведения приемов и встреч предусмотрено 4 конференц-зала, в </w:t>
            </w:r>
            <w:proofErr w:type="gramStart"/>
            <w:r w:rsidRPr="004E5BA3">
              <w:rPr>
                <w:rFonts w:ascii="Tahoma" w:eastAsia="Times New Roman" w:hAnsi="Tahoma" w:cs="Tahoma"/>
                <w:lang w:eastAsia="ru-RU"/>
              </w:rPr>
              <w:t>самом</w:t>
            </w:r>
            <w:proofErr w:type="gram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большом,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Plato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E5BA3">
              <w:rPr>
                <w:rFonts w:ascii="Tahoma" w:eastAsia="Times New Roman" w:hAnsi="Tahoma" w:cs="Tahoma"/>
                <w:lang w:eastAsia="ru-RU"/>
              </w:rPr>
              <w:t>Hall</w:t>
            </w:r>
            <w:proofErr w:type="spellEnd"/>
            <w:r w:rsidRPr="004E5BA3">
              <w:rPr>
                <w:rFonts w:ascii="Tahoma" w:eastAsia="Times New Roman" w:hAnsi="Tahoma" w:cs="Tahoma"/>
                <w:lang w:eastAsia="ru-RU"/>
              </w:rPr>
              <w:t>, можно разместить до 425 гостей. Оставшиеся 3 зала вмещают по 124 человека.</w:t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</w:r>
            <w:r w:rsidRPr="004E5BA3">
              <w:rPr>
                <w:rFonts w:ascii="Tahoma" w:eastAsia="Times New Roman" w:hAnsi="Tahoma" w:cs="Tahoma"/>
                <w:lang w:eastAsia="ru-RU"/>
              </w:rPr>
              <w:br/>
              <w:t>Есть парковка для автомобилей. Услуги няни, медицинская помощь, услуги флориста, секретарские услуги, прокат автомобилей, магазины, парикмахерская.</w:t>
            </w:r>
          </w:p>
        </w:tc>
      </w:tr>
    </w:tbl>
    <w:p w:rsidR="00AC0C92" w:rsidRPr="004E5BA3" w:rsidRDefault="00AC0C92">
      <w:pPr>
        <w:rPr>
          <w:rFonts w:ascii="Tahoma" w:hAnsi="Tahoma" w:cs="Tahoma"/>
        </w:rPr>
      </w:pPr>
    </w:p>
    <w:sectPr w:rsidR="00AC0C92" w:rsidRPr="004E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3"/>
    <w:rsid w:val="004E5BA3"/>
    <w:rsid w:val="00A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BA3"/>
  </w:style>
  <w:style w:type="character" w:customStyle="1" w:styleId="style1">
    <w:name w:val="style1"/>
    <w:basedOn w:val="a0"/>
    <w:rsid w:val="004E5BA3"/>
  </w:style>
  <w:style w:type="character" w:customStyle="1" w:styleId="style2">
    <w:name w:val="style2"/>
    <w:basedOn w:val="a0"/>
    <w:rsid w:val="004E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BA3"/>
  </w:style>
  <w:style w:type="character" w:customStyle="1" w:styleId="style1">
    <w:name w:val="style1"/>
    <w:basedOn w:val="a0"/>
    <w:rsid w:val="004E5BA3"/>
  </w:style>
  <w:style w:type="character" w:customStyle="1" w:styleId="style2">
    <w:name w:val="style2"/>
    <w:basedOn w:val="a0"/>
    <w:rsid w:val="004E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2012-02-01T13:22:00Z</dcterms:created>
  <dcterms:modified xsi:type="dcterms:W3CDTF">2012-02-01T13:29:00Z</dcterms:modified>
</cp:coreProperties>
</file>